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E2" w:rsidRDefault="00D40FE2" w:rsidP="00E169B5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bookmark0"/>
    </w:p>
    <w:p w:rsidR="00E169B5" w:rsidRPr="00E169B5" w:rsidRDefault="00E169B5" w:rsidP="00E169B5">
      <w:pPr>
        <w:contextualSpacing/>
        <w:jc w:val="center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 xml:space="preserve">РЕСПУБЛИКА ДАГЕСТАН </w:t>
      </w:r>
    </w:p>
    <w:p w:rsidR="00E169B5" w:rsidRPr="00E169B5" w:rsidRDefault="00E169B5" w:rsidP="00E169B5">
      <w:pPr>
        <w:contextualSpacing/>
        <w:jc w:val="center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E169B5" w:rsidRDefault="00E169B5" w:rsidP="00E169B5">
      <w:pPr>
        <w:tabs>
          <w:tab w:val="center" w:pos="4819"/>
          <w:tab w:val="left" w:pos="8602"/>
        </w:tabs>
        <w:contextualSpacing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</w:rPr>
        <w:tab/>
        <w:t>«Средняя общеобразовательная школа № 7 города Буйнакска»</w:t>
      </w:r>
      <w:r w:rsidRPr="00E169B5">
        <w:rPr>
          <w:rFonts w:ascii="Times New Roman" w:hAnsi="Times New Roman" w:cs="Times New Roman"/>
          <w:b/>
        </w:rPr>
        <w:tab/>
      </w:r>
    </w:p>
    <w:p w:rsidR="00D40FE2" w:rsidRPr="00E169B5" w:rsidRDefault="00D40FE2" w:rsidP="00E169B5">
      <w:pPr>
        <w:tabs>
          <w:tab w:val="center" w:pos="4819"/>
          <w:tab w:val="left" w:pos="8602"/>
        </w:tabs>
        <w:contextualSpacing/>
        <w:rPr>
          <w:rFonts w:ascii="Times New Roman" w:hAnsi="Times New Roman" w:cs="Times New Roman"/>
          <w:b/>
        </w:rPr>
      </w:pPr>
    </w:p>
    <w:p w:rsidR="00E169B5" w:rsidRPr="00E169B5" w:rsidRDefault="00E169B5" w:rsidP="00E169B5">
      <w:pPr>
        <w:ind w:firstLine="710"/>
        <w:jc w:val="right"/>
        <w:rPr>
          <w:rFonts w:ascii="Times New Roman" w:hAnsi="Times New Roman" w:cs="Times New Roman"/>
          <w:b/>
        </w:rPr>
      </w:pPr>
      <w:r w:rsidRPr="00E169B5">
        <w:rPr>
          <w:rFonts w:ascii="Times New Roman" w:hAnsi="Times New Roman" w:cs="Times New Roman"/>
          <w:b/>
          <w:bCs/>
        </w:rPr>
        <w:t xml:space="preserve">    Утверждено</w:t>
      </w:r>
      <w:r w:rsidRPr="00E169B5">
        <w:rPr>
          <w:rFonts w:ascii="Times New Roman" w:hAnsi="Times New Roman" w:cs="Times New Roman"/>
          <w:b/>
        </w:rPr>
        <w:t>:  </w:t>
      </w:r>
    </w:p>
    <w:p w:rsidR="00E169B5" w:rsidRPr="00E169B5" w:rsidRDefault="006A724A" w:rsidP="00E169B5">
      <w:pPr>
        <w:ind w:firstLine="710"/>
        <w:jc w:val="right"/>
        <w:rPr>
          <w:rFonts w:ascii="Times New Roman" w:hAnsi="Times New Roman" w:cs="Times New Roman"/>
          <w:b/>
        </w:rPr>
      </w:pPr>
      <w:r w:rsidRPr="006A724A">
        <w:rPr>
          <w:rFonts w:ascii="Times New Roman" w:hAnsi="Times New Roman" w:cs="Times New Roman"/>
          <w:b/>
        </w:rPr>
        <w:drawing>
          <wp:inline distT="0" distB="0" distL="0" distR="0">
            <wp:extent cx="1504315" cy="1559560"/>
            <wp:effectExtent l="19050" t="0" r="635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01" cy="1559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69B5" w:rsidRPr="00E169B5">
        <w:rPr>
          <w:rFonts w:ascii="Times New Roman" w:hAnsi="Times New Roman" w:cs="Times New Roman"/>
          <w:b/>
        </w:rPr>
        <w:t xml:space="preserve">Директор </w:t>
      </w:r>
    </w:p>
    <w:p w:rsidR="00E169B5" w:rsidRPr="00D40FE2" w:rsidRDefault="00E169B5" w:rsidP="00D40FE2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E169B5">
        <w:rPr>
          <w:rFonts w:ascii="Times New Roman" w:hAnsi="Times New Roman" w:cs="Times New Roman"/>
          <w:b/>
        </w:rPr>
        <w:t>___________ Нурутдинова С.М</w:t>
      </w:r>
    </w:p>
    <w:p w:rsidR="00E169B5" w:rsidRPr="00E169B5" w:rsidRDefault="00E169B5" w:rsidP="00E169B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D40FE2" w:rsidRDefault="00127975" w:rsidP="00D40FE2">
      <w:pPr>
        <w:pStyle w:val="10"/>
        <w:keepNext/>
        <w:keepLines/>
        <w:shd w:val="clear" w:color="auto" w:fill="FFFFFF" w:themeFill="background1"/>
        <w:spacing w:after="0" w:line="240" w:lineRule="auto"/>
        <w:rPr>
          <w:color w:val="auto"/>
          <w:sz w:val="24"/>
          <w:szCs w:val="24"/>
        </w:rPr>
      </w:pPr>
      <w:r w:rsidRPr="00D40FE2">
        <w:rPr>
          <w:color w:val="auto"/>
          <w:sz w:val="24"/>
          <w:szCs w:val="24"/>
        </w:rPr>
        <w:t>ПОЛОЖЕНИЕ</w:t>
      </w:r>
      <w:bookmarkEnd w:id="0"/>
    </w:p>
    <w:p w:rsidR="00D40FE2" w:rsidRPr="00D40FE2" w:rsidRDefault="00D40FE2" w:rsidP="00D40FE2">
      <w:pPr>
        <w:pStyle w:val="10"/>
        <w:keepNext/>
        <w:keepLines/>
        <w:shd w:val="clear" w:color="auto" w:fill="FFFFFF" w:themeFill="background1"/>
        <w:spacing w:after="0" w:line="240" w:lineRule="auto"/>
        <w:rPr>
          <w:color w:val="auto"/>
          <w:sz w:val="24"/>
          <w:szCs w:val="24"/>
        </w:rPr>
      </w:pPr>
      <w:r w:rsidRPr="00D40FE2">
        <w:rPr>
          <w:color w:val="auto"/>
          <w:sz w:val="24"/>
          <w:szCs w:val="24"/>
        </w:rPr>
        <w:t xml:space="preserve">о штабе гражданской обороны организации 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/>
      </w:tblPr>
      <w:tblGrid>
        <w:gridCol w:w="10915"/>
      </w:tblGrid>
      <w:tr w:rsidR="00D40FE2" w:rsidRPr="00D40FE2" w:rsidTr="00D40FE2">
        <w:trPr>
          <w:tblCellSpacing w:w="0" w:type="dxa"/>
        </w:trPr>
        <w:tc>
          <w:tcPr>
            <w:tcW w:w="0" w:type="auto"/>
            <w:shd w:val="clear" w:color="auto" w:fill="CFE8FB"/>
            <w:vAlign w:val="center"/>
            <w:hideMark/>
          </w:tcPr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rPr>
                <w:rStyle w:val="ac"/>
              </w:rPr>
              <w:t>I. Общие положения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1. Настоящее Положение разработано в соответствии с Федеральным законом от 12.02.1998 N 28-ФЗ "О гражданской обороне", постановлением Правительства РФ от 26.11.2007 N 804 "Об утверждении Положения о гражданской обороне в Российской Федерации" и определяет состав, задачи и полномочия штаба ГО организации (далее - штаб ГО).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2. Штаб ГО является нештатным постоянно действующим органом управления ГО в организации. Возглавляет штаб ГО начальник штаба, который назначается приказом по организации из заместителей руководителя организации или иных должностных лиц, отвечающих за ГО в организации</w:t>
            </w:r>
            <w:bookmarkStart w:id="1" w:name="_ftnref1"/>
            <w:r w:rsidR="000474F9" w:rsidRPr="00D40FE2">
              <w:fldChar w:fldCharType="begin"/>
            </w:r>
            <w:r w:rsidRPr="00D40FE2">
              <w:instrText xml:space="preserve"> HYPERLINK "http://xn--------3veaabcahvp3aypd2a3deubak3alvuzd5n8bzl.xn--p1ai/publ/organizacija_go/primernoe_polozhenie_o_shtabe_grazhdanskoj_oborony_organizacii_uchrezhdenija_predprijatija/2-1-0-40" \l "_ftn1" \o "" </w:instrText>
            </w:r>
            <w:r w:rsidR="000474F9" w:rsidRPr="00D40FE2">
              <w:fldChar w:fldCharType="separate"/>
            </w:r>
            <w:r w:rsidRPr="00D40FE2">
              <w:rPr>
                <w:rStyle w:val="a3"/>
                <w:color w:val="auto"/>
                <w:u w:val="none"/>
              </w:rPr>
              <w:t>[1]</w:t>
            </w:r>
            <w:r w:rsidR="000474F9" w:rsidRPr="00D40FE2">
              <w:fldChar w:fldCharType="end"/>
            </w:r>
            <w:bookmarkEnd w:id="1"/>
            <w:r w:rsidRPr="00D40FE2">
              <w:t>, и подчиняется непосредственно руководителю организации - начальнику ГО организации.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3. Начальник штаба ГО является заместителем начальника ГО организации и имеет право в пределах своих полномочий отдавать указания и распоряжения по вопросам ГО, которые обязательны для исполнения руководителями структурных подразделений организации.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4. Штаб ГО осуществляет управление через структурное подразделение организации, уполномоченное на решение задач в области ГО (при его наличии).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5. Штаб ГО формируется из числа руководящего состава организации. В состав штаба ГО входят: начальник штаба, заместители начальника штаба, председатель эвакуационной комиссии, председатель комиссии по повышению устойчивости функционирования организации, руководители спасательных служб ГО организации. Состав штаба и функциональные обязанности его членов утверждает руководитель ГО организации по представлению начальника штаба ГО.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6. В своей деятельности штаб ГО руководствуется: действующими законодательными и нормативно-правовыми актами в области ГО и защиты от ЧС федерального, регионального и муниципального уровней; планирующими документами (план ГО организации; план действий по предупреждению и ликвидации ЧС в организации; план основных мероприятий в области ГО, предупреждения и ликвидации ЧС и обеспечения пожарной безопасности; план деятельности штаба на текущий год); указаниями руководителя организации и вышестоящего органа управления ГО.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rPr>
                <w:rStyle w:val="ac"/>
              </w:rPr>
              <w:t>II. Задачи штаба ГО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Основными задачами штаба ГО являются: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планирование, организация и контроль выполнения мероприятий по подготовке к переводу и переводу ГО организации с мирного на военное время и по защите работников от ЧС природного и техногенного характера;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разработка плана ГО организации, других локальных нормативных документов по ГО и их своевременная актуализация;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участие в планировании и проведении мероприятий, направленных на повышение устойчивости функционирования организации в ЧС мирного и военного времени;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прогнозирование, сбор, изучение и оценка данных о радиационной, химической, бактериологической и иной обстановке на территории организации, подготовка расчетов и предложений, необходимых для принятия решений руководителем ГО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 xml:space="preserve">- формирование, оснащение, подготовка и поддержание в готовности спасательных служб ГО организации </w:t>
            </w:r>
            <w:r w:rsidRPr="00D40FE2">
              <w:lastRenderedPageBreak/>
              <w:t>и нештатных аварийно-спасательных формирований организации (при наличии такого задания);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координация деятельности эвакуационной комиссии организации, комиссии по повышению устойчивости функционирования организации и комиссии по предупреждению и ликвидации чрезвычайных ситуаций (ЧС) и обеспечению пожарной безопасности;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поддержание в готовности средств и систем связи и оповещения;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</w:t>
            </w:r>
            <w:r w:rsidRPr="00D40FE2">
              <w:rPr>
                <w:shd w:val="clear" w:color="auto" w:fill="FFFFFF" w:themeFill="background1"/>
              </w:rPr>
              <w:t>ан</w:t>
            </w:r>
            <w:r w:rsidRPr="00D40FE2">
              <w:t>изация проведения мероприятий по обеспечению работников организации коллективными и индивидуальными средствами защиты;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проведения санитарно-гигиенических, лечебно-профилактических и противоэпидемических мероприятий в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руководство деятельностью нештатных аварийно-спасательных формирований организации при проведении аварийно-спасательных и других неотложных работ;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планирование и организация подготовки и обучения руководящего состава и членов штаба ГО, личного состава нештатных аварийно-спасательных формирований организации и лиц, уполномоченных для решения задач в области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и проведение занятий и тренировок по ГО в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контроль за постоянной готовностью защитных сооружений ГО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оповещения работников организации о внезапном нападении противника и об опасностях, возникающих при ЧС мирного и военного времени;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накопления, обновления и хранения в организации средств индивидуальной защиты, приборов радиационной, химической разведки и дозиметрического контроля, другого имущества ГО, предусмотренного нормами оснащения;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своевременное представление донесений по ГО в вышестоящий орган управления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взаимодействия по вопросам сбора и обмена информацией с вышестоящим органом управления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разработка предложений по совершенствованию ГО и защиты от ЧС и представление их руководителю организации (начальнику ГО организации) и вышестоящему органу управления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оказание методической и практической помощи подведомственным организациям и филиалам (при их наличии) в вопросах планирования и выполнения мероприятий ГО, предупреждения и ликвидации последствий ЧС.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rPr>
                <w:rStyle w:val="ac"/>
              </w:rPr>
              <w:t>III. Функции штаба ГО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Штаб ГО в соответствии с возложенными на него задачами выполняет следующие функции: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непосредственное руководство ГО и защитой от ЧС в организации, включая выполнение комплекса организационных, инженерно-технических, медицинских и других специальных мероприятий, направленных на повышение готовности органов управления и сил ГО и ЧС организации к действиям в чрезвычайных условиях мирного и военного времени.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планирование, организация и контроль мероприятий по всем направлениям деятельности по ГО и защите от ЧС в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разработка и своевременная актуализация Плана ГО организации и Плана действий по предупреждению и ликвидации ЧС в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контроль выполнения требований нормативно-правовых актов в области ГО и ЧС, планов по ГО и ЧС, приказов (распоряжений, указаний) вышестоящего органа управления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незамедлительное информирование руководства организации и вышестоящего органа управления ГО об угрозе возникновения, возникновении и ходе ликвидации ЧС в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оповещения персонала организации о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делопроизводства по ГО в организации (ведение учетно-отчетной документации; представление в установленном порядке отчетных данных о ГО организации и работе штаба ГО; разработка и представление на утверждение руководителю организации проектов приказов, распоряжений и иных локальных нормативно-правовых актов по вопросам ГО; своевременная актуализация локальных документов по ГО);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подготовка предложений о финансировании мероприятий по ГО и контроль эффективности использования выделенных для этих целей материальных ресурсов и финансовых средств;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организация и контроль приобретения, использования, хранения и выдачи средств индивидуальной защиты, приборов радиационной, химической разведки и дозиметрического контроля, другого имущества ГО и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контроль готовности технических систем оповещения и связи, оснащения техническими средствами пунктов управления ГО организации;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 xml:space="preserve">- контроль и содержание в постоянной готовности защищенных пунктов управления системы ГО, </w:t>
            </w:r>
            <w:r w:rsidRPr="00D40FE2">
              <w:lastRenderedPageBreak/>
              <w:t>защитных сооружений, хранения средств индивидуальной защиты, приборов радиационной химической разведки и дозиметрического контроля;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формирование, подготовка и оснащение нештатных формирований по обеспечению выполнения мероприятий по гражданской обороне (НФГО) и нештатных аварийно-спасательных формирований (НАСФ) (при наличии такого задания), включая укомплектование их личным составом, средствами индивидуальной защиты, приборами радиационной химической разведки и дозиметрического контроля, инструментом и т.д.;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планирование и организация обучения по утвержденным программам личного состава органов управления объектовой системы ГО, НФГО, НАСФ и работников организации действиям в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планирование и проведение учений и тренировок по ГО и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взаимодействие с территориальными и ведомственными системами ГО и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сбор, обработка и анализ информации об обстановке для принятия решений руководителем ГО организации; на основе данных об обстановке подготовка выводов и предложений, отработка вариантов действий, доклад руководителю ГО объекта, доведение необходимой информации об обстановке до подчиненных; прогнозирование вероятности возникновения ЧС и оценка сложившейся обстановки при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координация деятельности эвакуационной комиссии организации, комиссии по повышению устойчивости функционирования организации и комиссии по предупреждению и ликвидации ЧС и обеспечения пожарной безопасности;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участие в планировании и организации эвакуации персонала организации и материальных ценностей в военное время и условиях ЧС.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rPr>
                <w:rStyle w:val="ac"/>
              </w:rPr>
              <w:t>IV. Права штаба ГО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1. Принятие решений в пределах своих полномочий в области ГО, оформляемых распоряжением начальника штаба ГО и обязательных для выполнения всеми структурными подразделениями организации.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2. Контроль деятельности структурных подразделений и организации в целом в области ГО и защиты от ЧС.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3. Получение в установленном порядке информации, необходимой для выполнения возложенных на штаб ГО задач.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4. Информирование руководителя организации (начальника ГО) и вышестоящий орган управления ГО о состоянии и проблемах ГО и путях их решения.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rPr>
                <w:rStyle w:val="ac"/>
              </w:rPr>
              <w:t>V. Организация работы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1. Штаб осуществляет свою деятельность в соответствии с годовым планом работы, разрабатываемым начальником штаба ГО, принимаемым на его заседании и утверждаемым руководителем организации (начальником ГО объекта).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2. Распределение обязанностей между членами штаба ГО производится его начальником, а утверждение - руководителем организации (начальником ГО объекта). Штаб может создавать рабочие группы по основным вопросам, относящимся к его деятельности, и определять порядок их работы.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3. Штаб ГО проводит заседания по мере необходимости, но не реже одного раза в квартал, на которых обсуждаются наиболее важные вопросы планирования и организации ГО, заслушиваются отчеты членов штаба ГО и руководителей структурных подразделений о проводимой работе в области ГО. Конкретные место и время заседания штаба ГО определяются его начальником и доводится им до остальных членов штаба ГО. В обязательном порядке сбор и работа штаба ГО осуществляется: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при проведении учений и тренировок по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в случае угрозы возникновения или возникновения ЧС;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при введении военного положения;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при объявлении мобилизации;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при введении степеней готовности по ГО;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- в случае внезапного нападения противника.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4. Контроль за работой штаба ГО осуществляет руководитель ГО организации.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5"/>
              <w:shd w:val="clear" w:color="auto" w:fill="FFFFFF" w:themeFill="background1"/>
              <w:spacing w:before="75" w:beforeAutospacing="0" w:after="75" w:afterAutospacing="0"/>
              <w:jc w:val="both"/>
              <w:rPr>
                <w:bCs w:val="0"/>
                <w:sz w:val="24"/>
                <w:szCs w:val="24"/>
              </w:rPr>
            </w:pPr>
            <w:r w:rsidRPr="00D40FE2">
              <w:rPr>
                <w:bCs w:val="0"/>
                <w:sz w:val="24"/>
                <w:szCs w:val="24"/>
              </w:rPr>
              <w:t>VI. Ответственность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1. Начальник штаба ГО несет персональную ответственность за своевременное и качественное осуществление возложенных на него должностных обязанностей по управлению штабом ГО и выполнение возложенных на него задач.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lastRenderedPageBreak/>
              <w:t>2. Члены штаба ГО несут персональную ответственность за своевременное и качественное осуществление возложенных на них функциональных обязанностей по организации работы по закрепленными за ними направлениям деятельности по решению задач ГО.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 </w:t>
            </w:r>
          </w:p>
          <w:p w:rsidR="00D40FE2" w:rsidRPr="00D40FE2" w:rsidRDefault="00D40FE2" w:rsidP="00D40FE2">
            <w:pPr>
              <w:pStyle w:val="ab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D40FE2">
              <w:t>организации, уполномоченного на решение задач в области ГО.</w:t>
            </w:r>
          </w:p>
        </w:tc>
      </w:tr>
    </w:tbl>
    <w:p w:rsidR="008B0763" w:rsidRPr="00E169B5" w:rsidRDefault="008B0763" w:rsidP="00D40FE2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sectPr w:rsidR="008B0763" w:rsidRPr="00E169B5" w:rsidSect="00D40FE2">
      <w:footerReference w:type="default" r:id="rId9"/>
      <w:footerReference w:type="first" r:id="rId10"/>
      <w:pgSz w:w="11900" w:h="16840"/>
      <w:pgMar w:top="426" w:right="418" w:bottom="142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80C" w:rsidRDefault="0051280C" w:rsidP="008B0763">
      <w:r>
        <w:separator/>
      </w:r>
    </w:p>
  </w:endnote>
  <w:endnote w:type="continuationSeparator" w:id="1">
    <w:p w:rsidR="0051280C" w:rsidRDefault="0051280C" w:rsidP="008B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63" w:rsidRDefault="000474F9">
    <w:pPr>
      <w:rPr>
        <w:sz w:val="2"/>
        <w:szCs w:val="2"/>
      </w:rPr>
    </w:pPr>
    <w:r w:rsidRPr="000474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7.3pt;margin-top:796pt;width:3.1pt;height:7.9pt;z-index:-251659264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8B0763" w:rsidRDefault="000474F9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6A724A" w:rsidRPr="006A724A">
                    <w:rPr>
                      <w:rStyle w:val="11pt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63" w:rsidRDefault="000474F9">
    <w:pPr>
      <w:rPr>
        <w:sz w:val="2"/>
        <w:szCs w:val="2"/>
      </w:rPr>
    </w:pPr>
    <w:r w:rsidRPr="000474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6.5pt;margin-top:795.9pt;width:4.3pt;height:7.9pt;z-index:-251658240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8B0763" w:rsidRDefault="000474F9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6A724A" w:rsidRPr="006A724A">
                    <w:rPr>
                      <w:rStyle w:val="11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80C" w:rsidRDefault="0051280C"/>
  </w:footnote>
  <w:footnote w:type="continuationSeparator" w:id="1">
    <w:p w:rsidR="0051280C" w:rsidRDefault="005128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D94"/>
    <w:multiLevelType w:val="multilevel"/>
    <w:tmpl w:val="60EEFD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6B3ACC"/>
    <w:multiLevelType w:val="multilevel"/>
    <w:tmpl w:val="B0CAB6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D56FE"/>
    <w:multiLevelType w:val="multilevel"/>
    <w:tmpl w:val="1996D3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60933"/>
    <w:multiLevelType w:val="multilevel"/>
    <w:tmpl w:val="206A072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1C7CF9"/>
    <w:multiLevelType w:val="multilevel"/>
    <w:tmpl w:val="EE1AE9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4E4FA6"/>
    <w:multiLevelType w:val="multilevel"/>
    <w:tmpl w:val="BB0687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B0763"/>
    <w:rsid w:val="000474F9"/>
    <w:rsid w:val="00127975"/>
    <w:rsid w:val="0020304D"/>
    <w:rsid w:val="002405F0"/>
    <w:rsid w:val="002A56CF"/>
    <w:rsid w:val="003463C6"/>
    <w:rsid w:val="00355DDB"/>
    <w:rsid w:val="00444753"/>
    <w:rsid w:val="00452247"/>
    <w:rsid w:val="0051280C"/>
    <w:rsid w:val="00595436"/>
    <w:rsid w:val="005E3FE6"/>
    <w:rsid w:val="006A724A"/>
    <w:rsid w:val="007D1BD6"/>
    <w:rsid w:val="007E5770"/>
    <w:rsid w:val="007F69B9"/>
    <w:rsid w:val="00801EAB"/>
    <w:rsid w:val="008B0763"/>
    <w:rsid w:val="008B619E"/>
    <w:rsid w:val="0090194A"/>
    <w:rsid w:val="00AD4903"/>
    <w:rsid w:val="00C80AD2"/>
    <w:rsid w:val="00CE0613"/>
    <w:rsid w:val="00D1248B"/>
    <w:rsid w:val="00D40FE2"/>
    <w:rsid w:val="00D76FF4"/>
    <w:rsid w:val="00E169B5"/>
    <w:rsid w:val="00F3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0763"/>
    <w:pPr>
      <w:widowControl w:val="0"/>
    </w:pPr>
    <w:rPr>
      <w:color w:val="000000"/>
      <w:sz w:val="24"/>
      <w:szCs w:val="24"/>
      <w:lang w:bidi="ru-RU"/>
    </w:rPr>
  </w:style>
  <w:style w:type="paragraph" w:styleId="5">
    <w:name w:val="heading 5"/>
    <w:basedOn w:val="a"/>
    <w:link w:val="50"/>
    <w:uiPriority w:val="9"/>
    <w:qFormat/>
    <w:rsid w:val="00D40FE2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7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4">
    <w:name w:val="Колонтитул_"/>
    <w:basedOn w:val="a0"/>
    <w:link w:val="a5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Не полужирный"/>
    <w:basedOn w:val="a4"/>
    <w:rsid w:val="008B0763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Заголовок №4_"/>
    <w:basedOn w:val="a0"/>
    <w:link w:val="4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B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sid w:val="008B076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8B07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8B0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8B076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B0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0">
    <w:name w:val="Заголовок №1"/>
    <w:basedOn w:val="a"/>
    <w:link w:val="1"/>
    <w:rsid w:val="008B0763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Колонтитул"/>
    <w:basedOn w:val="a"/>
    <w:link w:val="a4"/>
    <w:rsid w:val="008B07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8B0763"/>
    <w:pPr>
      <w:shd w:val="clear" w:color="auto" w:fill="FFFFFF"/>
      <w:spacing w:before="480" w:after="660" w:line="32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B0763"/>
    <w:pPr>
      <w:shd w:val="clear" w:color="auto" w:fill="FFFFFF"/>
      <w:spacing w:before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8B0763"/>
    <w:pPr>
      <w:shd w:val="clear" w:color="auto" w:fill="FFFFFF"/>
      <w:spacing w:before="12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rsid w:val="008B0763"/>
    <w:pPr>
      <w:shd w:val="clear" w:color="auto" w:fill="FFFFFF"/>
      <w:spacing w:after="30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8B076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D76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6FF4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D76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6FF4"/>
    <w:rPr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40FE2"/>
    <w:rPr>
      <w:rFonts w:ascii="Times New Roman" w:eastAsia="Times New Roman" w:hAnsi="Times New Roman" w:cs="Times New Roman"/>
      <w:b/>
      <w:bCs/>
    </w:rPr>
  </w:style>
  <w:style w:type="paragraph" w:styleId="ab">
    <w:name w:val="Normal (Web)"/>
    <w:basedOn w:val="a"/>
    <w:uiPriority w:val="99"/>
    <w:unhideWhenUsed/>
    <w:rsid w:val="00D40F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Strong"/>
    <w:basedOn w:val="a0"/>
    <w:uiPriority w:val="22"/>
    <w:qFormat/>
    <w:rsid w:val="00D40F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B61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619E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1939-7238-4104-B87B-94A76A3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</vt:lpstr>
    </vt:vector>
  </TitlesOfParts>
  <Company>Microsoft</Company>
  <LinksUpToDate>false</LinksUpToDate>
  <CharactersWithSpaces>11416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сош7</cp:lastModifiedBy>
  <cp:revision>4</cp:revision>
  <dcterms:created xsi:type="dcterms:W3CDTF">2021-01-16T21:10:00Z</dcterms:created>
  <dcterms:modified xsi:type="dcterms:W3CDTF">2021-01-18T08:57:00Z</dcterms:modified>
</cp:coreProperties>
</file>